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2EDF2A75" w:rsidR="00EC0205" w:rsidRPr="00A445CA" w:rsidRDefault="00AD6B07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Anti-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Dengue Virus</w:t>
                            </w:r>
                            <w:r w:rsidR="00B65A7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 xml:space="preserve"> E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 xml:space="preserve"> Antibody, DE</w:t>
                            </w:r>
                            <w:r w:rsidR="00B6136B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2EDF2A75" w:rsidR="00EC0205" w:rsidRPr="00A445CA" w:rsidRDefault="00AD6B07" w:rsidP="00EC0205">
                      <w:pPr>
                        <w:rPr>
                          <w:rFonts w:asciiTheme="majorHAnsi" w:hAnsiTheme="majorHAnsi"/>
                          <w:color w:val="E96C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Anti-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Dengue Virus</w:t>
                      </w:r>
                      <w:r w:rsidR="00B65A7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 xml:space="preserve"> E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 xml:space="preserve"> Antibody, DE</w:t>
                      </w:r>
                      <w:r w:rsidR="00B6136B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125641E9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B32C40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A23EB9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B32C40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28" type="#_x0000_t202" style="position:absolute;margin-left:361.55pt;margin-top:86pt;width:178.5pt;height:21.1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125641E9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Catalog</w:t>
                      </w:r>
                      <w:proofErr w:type="spellEnd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B32C40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A23EB9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B32C40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003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3620E501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DENV2 (16681) infected supernatant followed by lysate booster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3620E501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DENV2 (16681) infected supernatant followed by lysate booster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7DB4661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7DB4661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2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4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5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6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54B2C997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54B2C997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8CD96" w14:textId="67ADBC3C" w:rsidR="00B6136B" w:rsidRPr="00524594" w:rsidRDefault="00FF413D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bookmarkStart w:id="2" w:name="_Hlk140650570"/>
                            <w:r w:rsidR="0011232A" w:rsidRPr="00524594">
                              <w:rPr>
                                <w:sz w:val="20"/>
                              </w:rPr>
                              <w:t>DENV</w:t>
                            </w:r>
                            <w:r w:rsidR="0011232A">
                              <w:rPr>
                                <w:sz w:val="20"/>
                              </w:rPr>
                              <w:t>2</w:t>
                            </w:r>
                            <w:r w:rsidR="0011232A" w:rsidRPr="00524594">
                              <w:rPr>
                                <w:sz w:val="20"/>
                              </w:rPr>
                              <w:t xml:space="preserve"> E glycoprotein specific mouse monoclonal antibody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 </w:t>
                            </w:r>
                            <w:bookmarkEnd w:id="2"/>
                            <w:r w:rsidR="00B6136B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B6136B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B6136B" w:rsidRPr="00524594">
                              <w:rPr>
                                <w:sz w:val="20"/>
                              </w:rPr>
                              <w:t>antibody reacts with the linear epitope PTLDFE of DENV2</w:t>
                            </w:r>
                            <w:r w:rsidR="00B6136B">
                              <w:rPr>
                                <w:sz w:val="20"/>
                              </w:rPr>
                              <w:t xml:space="preserve"> E</w:t>
                            </w:r>
                            <w:r w:rsidR="00B6136B" w:rsidRPr="00524594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7E58CD96" w14:textId="67ADBC3C" w:rsidR="00B6136B" w:rsidRPr="00524594" w:rsidRDefault="00FF413D" w:rsidP="00B6136B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bookmarkStart w:id="5" w:name="_Hlk140650570"/>
                      <w:r w:rsidR="0011232A" w:rsidRPr="00524594">
                        <w:rPr>
                          <w:sz w:val="20"/>
                        </w:rPr>
                        <w:t>DENV</w:t>
                      </w:r>
                      <w:r w:rsidR="0011232A">
                        <w:rPr>
                          <w:sz w:val="20"/>
                        </w:rPr>
                        <w:t>2</w:t>
                      </w:r>
                      <w:r w:rsidR="0011232A" w:rsidRPr="00524594">
                        <w:rPr>
                          <w:sz w:val="20"/>
                        </w:rPr>
                        <w:t xml:space="preserve"> E glycoprotein specific mouse monoclonal antibody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.  </w:t>
                      </w:r>
                      <w:bookmarkEnd w:id="5"/>
                      <w:r w:rsidR="00B6136B" w:rsidRPr="00524594">
                        <w:rPr>
                          <w:sz w:val="20"/>
                        </w:rPr>
                        <w:t xml:space="preserve">This </w:t>
                      </w:r>
                      <w:r w:rsidR="00B6136B">
                        <w:rPr>
                          <w:sz w:val="20"/>
                        </w:rPr>
                        <w:t xml:space="preserve">monoclonal </w:t>
                      </w:r>
                      <w:r w:rsidR="00B6136B" w:rsidRPr="00524594">
                        <w:rPr>
                          <w:sz w:val="20"/>
                        </w:rPr>
                        <w:t>antibody reacts with the linear epitope PTLDFE of DENV2</w:t>
                      </w:r>
                      <w:r w:rsidR="00B6136B">
                        <w:rPr>
                          <w:sz w:val="20"/>
                        </w:rPr>
                        <w:t xml:space="preserve"> E</w:t>
                      </w:r>
                      <w:r w:rsidR="00B6136B" w:rsidRPr="00524594">
                        <w:rPr>
                          <w:sz w:val="20"/>
                        </w:rPr>
                        <w:t>.</w:t>
                      </w: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3" w:name="_Hlk140650439"/>
                            <w:bookmarkStart w:id="4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3"/>
                          <w:bookmarkEnd w:id="4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8" w:name="_Hlk140650439"/>
                      <w:bookmarkStart w:id="9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8"/>
                    <w:bookmarkEnd w:id="9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EB46CE" wp14:editId="1B8E8FCB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3B83D" w14:textId="77777777" w:rsidR="00EC08DE" w:rsidRDefault="00EC08DE" w:rsidP="00930CA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4A43B83D" w14:textId="77777777" w:rsidR="00EC08DE" w:rsidRDefault="00EC08DE" w:rsidP="00930CA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C29AD" w14:textId="77777777" w:rsidR="00B6136B" w:rsidRPr="00524594" w:rsidRDefault="00B6136B" w:rsidP="00B6136B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 xml:space="preserve">This monoclonal antibody </w:t>
                            </w:r>
                            <w:r>
                              <w:rPr>
                                <w:sz w:val="20"/>
                              </w:rPr>
                              <w:t>has been primarily used to detect DENV2 in a western blot under reducing conditions. Detects DENV2, 4 by FRNT.</w:t>
                            </w:r>
                          </w:p>
                          <w:p w14:paraId="077B0F3A" w14:textId="520B453D" w:rsidR="00B40B63" w:rsidRPr="00930CAD" w:rsidRDefault="00B40B63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156C29AD" w14:textId="77777777" w:rsidR="00B6136B" w:rsidRPr="00524594" w:rsidRDefault="00B6136B" w:rsidP="00B6136B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 xml:space="preserve">This monoclonal antibody </w:t>
                      </w:r>
                      <w:r>
                        <w:rPr>
                          <w:sz w:val="20"/>
                        </w:rPr>
                        <w:t>has been primarily used to detect DENV2 in a western blot under reducing conditions. Detects DENV2, 4 by FRNT.</w:t>
                      </w:r>
                    </w:p>
                    <w:p w14:paraId="077B0F3A" w14:textId="520B453D" w:rsidR="00B40B63" w:rsidRPr="00930CAD" w:rsidRDefault="00B40B63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31998748" w:rsidR="00A86D60" w:rsidRDefault="00AD6B07" w:rsidP="00A86D60">
      <w:r w:rsidRPr="00AD6B07">
        <w:br/>
      </w:r>
      <w:r w:rsidR="007167CC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98A2E91" wp14:editId="59E9963D">
                <wp:simplePos x="0" y="0"/>
                <wp:positionH relativeFrom="column">
                  <wp:posOffset>1905</wp:posOffset>
                </wp:positionH>
                <wp:positionV relativeFrom="paragraph">
                  <wp:posOffset>226059</wp:posOffset>
                </wp:positionV>
                <wp:extent cx="3014980" cy="21431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143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D941" id="Rectangle 22" o:spid="_x0000_s1026" style="position:absolute;margin-left:.15pt;margin-top:17.8pt;width:237.4pt;height:16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" filled="f" strokecolor="#1f4d78 [1604]" strokeweight="1pt"/>
            </w:pict>
          </mc:Fallback>
        </mc:AlternateContent>
      </w:r>
    </w:p>
    <w:p w14:paraId="2248FAF5" w14:textId="11CC170A" w:rsidR="00EC08DE" w:rsidRPr="00524594" w:rsidRDefault="00A86D60" w:rsidP="00EC08DE">
      <w:pPr>
        <w:rPr>
          <w:sz w:val="20"/>
        </w:rPr>
      </w:pPr>
      <w:r>
        <w:tab/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77777777" w:rsidR="00EC08DE" w:rsidRDefault="00EC08DE" w:rsidP="00EC08DE">
      <w:pPr>
        <w:rPr>
          <w:sz w:val="20"/>
        </w:rPr>
      </w:pP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7AD37328" w:rsidR="00A86D60" w:rsidRPr="00A86D60" w:rsidRDefault="00800461" w:rsidP="00A86D60">
      <w:pPr>
        <w:tabs>
          <w:tab w:val="left" w:pos="1830"/>
        </w:tabs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1CF5CC68" wp14:editId="33F2DC7B">
                <wp:simplePos x="0" y="0"/>
                <wp:positionH relativeFrom="margin">
                  <wp:align>left</wp:align>
                </wp:positionH>
                <wp:positionV relativeFrom="paragraph">
                  <wp:posOffset>1057275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C8E7B" w14:textId="77777777" w:rsidR="00800461" w:rsidRPr="00D44947" w:rsidRDefault="00800461" w:rsidP="00800461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A12F932" w14:textId="77777777" w:rsidR="00800461" w:rsidRPr="00D44947" w:rsidRDefault="00800461" w:rsidP="0080046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24EEDE50" w14:textId="77777777" w:rsidR="00800461" w:rsidRPr="00D44947" w:rsidRDefault="00800461" w:rsidP="00800461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CC68" id="Text Box 787422552" o:spid="_x0000_s1041" type="#_x0000_t202" style="position:absolute;margin-left:0;margin-top:83.25pt;width:234.75pt;height:85.5pt;z-index:2516603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" filled="f" stroked="f" strokeweight=".5pt">
                <v:textbox>
                  <w:txbxContent>
                    <w:p w14:paraId="5D9C8E7B" w14:textId="77777777" w:rsidR="00800461" w:rsidRPr="00D44947" w:rsidRDefault="00800461" w:rsidP="00800461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A12F932" w14:textId="77777777" w:rsidR="00800461" w:rsidRPr="00D44947" w:rsidRDefault="00800461" w:rsidP="00800461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24EEDE50" w14:textId="77777777" w:rsidR="00800461" w:rsidRPr="00D44947" w:rsidRDefault="00800461" w:rsidP="00800461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232A"/>
    <w:rsid w:val="00117825"/>
    <w:rsid w:val="00175739"/>
    <w:rsid w:val="001A612F"/>
    <w:rsid w:val="001D395A"/>
    <w:rsid w:val="002D320A"/>
    <w:rsid w:val="002E576F"/>
    <w:rsid w:val="00395250"/>
    <w:rsid w:val="003C42DA"/>
    <w:rsid w:val="00400A6B"/>
    <w:rsid w:val="00422089"/>
    <w:rsid w:val="004C2878"/>
    <w:rsid w:val="00505253"/>
    <w:rsid w:val="00570036"/>
    <w:rsid w:val="005A0305"/>
    <w:rsid w:val="005D0353"/>
    <w:rsid w:val="00644598"/>
    <w:rsid w:val="0068521D"/>
    <w:rsid w:val="006C0393"/>
    <w:rsid w:val="0071648C"/>
    <w:rsid w:val="007167CC"/>
    <w:rsid w:val="0079035B"/>
    <w:rsid w:val="00800461"/>
    <w:rsid w:val="008138BE"/>
    <w:rsid w:val="008C19C1"/>
    <w:rsid w:val="00930CAD"/>
    <w:rsid w:val="0098443A"/>
    <w:rsid w:val="009F0DA2"/>
    <w:rsid w:val="00A01B38"/>
    <w:rsid w:val="00A23EB9"/>
    <w:rsid w:val="00A44296"/>
    <w:rsid w:val="00A445CA"/>
    <w:rsid w:val="00A86D60"/>
    <w:rsid w:val="00AD6B07"/>
    <w:rsid w:val="00B32C40"/>
    <w:rsid w:val="00B40B63"/>
    <w:rsid w:val="00B6136B"/>
    <w:rsid w:val="00B65A7A"/>
    <w:rsid w:val="00B82D3B"/>
    <w:rsid w:val="00BF256D"/>
    <w:rsid w:val="00C401D7"/>
    <w:rsid w:val="00C50790"/>
    <w:rsid w:val="00D11C1C"/>
    <w:rsid w:val="00D342EC"/>
    <w:rsid w:val="00D411B0"/>
    <w:rsid w:val="00D44947"/>
    <w:rsid w:val="00DC4B8E"/>
    <w:rsid w:val="00DE1EC5"/>
    <w:rsid w:val="00E51C77"/>
    <w:rsid w:val="00E900E0"/>
    <w:rsid w:val="00E922D6"/>
    <w:rsid w:val="00EC0205"/>
    <w:rsid w:val="00EC08DE"/>
    <w:rsid w:val="00F05AD4"/>
    <w:rsid w:val="00F9165B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roducts@integratedbiotherapeutic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2.xml><?xml version="1.0" encoding="utf-8"?>
<ds:datastoreItem xmlns:ds="http://schemas.openxmlformats.org/officeDocument/2006/customXml" ds:itemID="{39DAECB0-B8FF-45D1-9613-88875A4A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2025-03-14T18:05:00Z</dcterms:created>
  <dcterms:modified xsi:type="dcterms:W3CDTF">2025-03-14T18:05:00Z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