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114D6B88" w:rsidR="00EC0205" w:rsidRPr="00A445CA" w:rsidRDefault="00AD6B07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Anti-</w:t>
                            </w:r>
                            <w:r w:rsidR="00047526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Dengue Virus Antibody, DE</w:t>
                            </w:r>
                            <w:r w:rsidR="00C5079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114D6B88" w:rsidR="00EC0205" w:rsidRPr="00A445CA" w:rsidRDefault="00AD6B07" w:rsidP="00EC0205">
                      <w:pPr>
                        <w:rPr>
                          <w:rFonts w:asciiTheme="majorHAnsi" w:hAnsiTheme="majorHAnsi"/>
                          <w:color w:val="E96C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Anti-</w:t>
                      </w:r>
                      <w:r w:rsidR="00047526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Dengue Virus Antibody, DE</w:t>
                      </w:r>
                      <w:r w:rsidR="00C5079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0D4F943C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6A5EE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1E2F2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6A5EE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0D4F943C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6A5EE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1E2F25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6A5EE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002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3620E501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DENV2 (16681) infected supernatant followed by lysate booster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3620E501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DENV2 (16681) infected supernatant followed by lysate booster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7DB4661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7DB4661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0DDA1202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0DDA1202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48AC" w14:textId="2A27ADE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bookmarkStart w:id="2" w:name="_Hlk140650570"/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Dengue virus group-specific mouse monoclonal antibody.  This monoclonal antibody reacts with a conformational epitope present on DENV1, 2, 3, and 4E.</w:t>
                            </w:r>
                            <w:r w:rsidR="00930CAD" w:rsidRPr="00930CA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End w:id="2"/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4CBC48AC" w14:textId="2A27ADE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bookmarkStart w:id="5" w:name="_Hlk140650570"/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Dengue virus group-specific mouse monoclonal antibody.  This monoclonal antibody reacts with a conformational epitope present on DENV1, 2, 3, and 4E.</w:t>
                      </w:r>
                      <w:r w:rsidR="00930CAD" w:rsidRPr="00930CAD">
                        <w:rPr>
                          <w:sz w:val="20"/>
                          <w:szCs w:val="20"/>
                        </w:rPr>
                        <w:t xml:space="preserve">  </w:t>
                      </w:r>
                      <w:bookmarkEnd w:id="5"/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102FA9FF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3" w:name="_Hlk140650439"/>
                            <w:bookmarkStart w:id="4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2b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3"/>
                          <w:bookmarkEnd w:id="4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102FA9FF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8" w:name="_Hlk140650439"/>
                      <w:bookmarkStart w:id="9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2b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8"/>
                    <w:bookmarkEnd w:id="9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1B8E8FCB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3B83D" w14:textId="77777777" w:rsidR="00EC08DE" w:rsidRDefault="00EC08DE" w:rsidP="00930CA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4A43B83D" w14:textId="77777777" w:rsidR="00EC08DE" w:rsidRDefault="00EC08DE" w:rsidP="00930CA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6A0A8B93" w:rsidR="00B40B63" w:rsidRPr="00930CAD" w:rsidRDefault="00C50790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may be used in an indirect immunofluorescence assay for the detection of dengue antigens in infected cells.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It has been tested in ELISA formats including a dengue antigen capture ELISA as well as the dengue IgM capture and IgG capture ELISA. </w:t>
                            </w:r>
                            <w:r>
                              <w:rPr>
                                <w:sz w:val="20"/>
                              </w:rPr>
                              <w:t>Optimal dilutions for usage should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 be determined by end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24594">
                              <w:rPr>
                                <w:sz w:val="20"/>
                              </w:rPr>
                              <w:t>user.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>
                              <w:rPr>
                                <w:sz w:val="20"/>
                              </w:rPr>
                              <w:t xml:space="preserve">monoclonal </w:t>
                            </w:r>
                            <w:r w:rsidRPr="00524594">
                              <w:rPr>
                                <w:sz w:val="20"/>
                              </w:rPr>
                              <w:t>antibody is not suitable for western blot</w:t>
                            </w:r>
                            <w:r>
                              <w:rPr>
                                <w:sz w:val="20"/>
                              </w:rPr>
                              <w:t xml:space="preserve"> (non-reducing unheated conditions) or FRNT.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6A0A8B93" w:rsidR="00B40B63" w:rsidRPr="00930CAD" w:rsidRDefault="00C50790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may be used in an indirect immunofluorescence assay for the detection of dengue antigens in infected cells.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524594">
                        <w:rPr>
                          <w:sz w:val="20"/>
                        </w:rPr>
                        <w:t xml:space="preserve">It has been tested in ELISA formats including a dengue antigen capture ELISA as well as the dengue IgM capture and IgG capture ELISA. </w:t>
                      </w:r>
                      <w:r>
                        <w:rPr>
                          <w:sz w:val="20"/>
                        </w:rPr>
                        <w:t>Optimal dilutions for usage should</w:t>
                      </w:r>
                      <w:r w:rsidRPr="00524594">
                        <w:rPr>
                          <w:sz w:val="20"/>
                        </w:rPr>
                        <w:t xml:space="preserve"> be determined by end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524594">
                        <w:rPr>
                          <w:sz w:val="20"/>
                        </w:rPr>
                        <w:t>user.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524594">
                        <w:rPr>
                          <w:sz w:val="20"/>
                        </w:rPr>
                        <w:t xml:space="preserve">This </w:t>
                      </w:r>
                      <w:r>
                        <w:rPr>
                          <w:sz w:val="20"/>
                        </w:rPr>
                        <w:t xml:space="preserve">monoclonal </w:t>
                      </w:r>
                      <w:r w:rsidRPr="00524594">
                        <w:rPr>
                          <w:sz w:val="20"/>
                        </w:rPr>
                        <w:t>antibody is not suitable for western blot</w:t>
                      </w:r>
                      <w:r>
                        <w:rPr>
                          <w:sz w:val="20"/>
                        </w:rPr>
                        <w:t xml:space="preserve"> (non-reducing unheated conditions) or FRNT.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31998748" w:rsidR="00A86D60" w:rsidRDefault="00AD6B07" w:rsidP="00A86D60">
      <w:r w:rsidRPr="00AD6B07">
        <w:br/>
      </w:r>
      <w:r w:rsidR="007167CC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59E9963D">
                <wp:simplePos x="0" y="0"/>
                <wp:positionH relativeFrom="column">
                  <wp:posOffset>1905</wp:posOffset>
                </wp:positionH>
                <wp:positionV relativeFrom="paragraph">
                  <wp:posOffset>226059</wp:posOffset>
                </wp:positionV>
                <wp:extent cx="3014980" cy="21431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D941" id="Rectangle 22" o:spid="_x0000_s1026" style="position:absolute;margin-left:.15pt;margin-top:17.8pt;width:237.4pt;height:16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" filled="f" strokecolor="#1f4d78 [1604]" strokeweight="1pt"/>
            </w:pict>
          </mc:Fallback>
        </mc:AlternateContent>
      </w:r>
    </w:p>
    <w:p w14:paraId="2248FAF5" w14:textId="6AAFD55B" w:rsidR="00EC08DE" w:rsidRPr="00524594" w:rsidRDefault="00A86D60" w:rsidP="00EC08DE">
      <w:pPr>
        <w:rPr>
          <w:sz w:val="20"/>
        </w:rPr>
      </w:pPr>
      <w:r>
        <w:tab/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45506FA8" w:rsidR="00A86D60" w:rsidRPr="00A86D60" w:rsidRDefault="00DA25D9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39D84CAF" wp14:editId="331CDBCA">
                <wp:simplePos x="0" y="0"/>
                <wp:positionH relativeFrom="margin">
                  <wp:align>left</wp:align>
                </wp:positionH>
                <wp:positionV relativeFrom="paragraph">
                  <wp:posOffset>1066800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900E3" w14:textId="77777777" w:rsidR="00DA25D9" w:rsidRPr="00D44947" w:rsidRDefault="00DA25D9" w:rsidP="00DA25D9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6C3F5D4" w14:textId="77777777" w:rsidR="00DA25D9" w:rsidRPr="00D44947" w:rsidRDefault="00DA25D9" w:rsidP="00DA25D9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06BABF7A" w14:textId="77777777" w:rsidR="00DA25D9" w:rsidRPr="00D44947" w:rsidRDefault="00DA25D9" w:rsidP="00DA25D9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84CAF" id="_x0000_t202" coordsize="21600,21600" o:spt="202" path="m,l,21600r21600,l21600,xe">
                <v:stroke joinstyle="miter"/>
                <v:path gradientshapeok="t" o:connecttype="rect"/>
              </v:shapetype>
              <v:shape id="Text Box 787422552" o:spid="_x0000_s1041" type="#_x0000_t202" style="position:absolute;margin-left:0;margin-top:84pt;width:234.75pt;height:85.5pt;z-index:25166031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" filled="f" stroked="f" strokeweight=".5pt">
                <v:textbox>
                  <w:txbxContent>
                    <w:p w14:paraId="769900E3" w14:textId="77777777" w:rsidR="00DA25D9" w:rsidRPr="00D44947" w:rsidRDefault="00DA25D9" w:rsidP="00DA25D9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6C3F5D4" w14:textId="77777777" w:rsidR="00DA25D9" w:rsidRPr="00D44947" w:rsidRDefault="00DA25D9" w:rsidP="00DA25D9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06BABF7A" w14:textId="77777777" w:rsidR="00DA25D9" w:rsidRPr="00D44947" w:rsidRDefault="00DA25D9" w:rsidP="00DA25D9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D395A"/>
    <w:rsid w:val="001E2F25"/>
    <w:rsid w:val="002D320A"/>
    <w:rsid w:val="002E576F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8521D"/>
    <w:rsid w:val="006A5EE3"/>
    <w:rsid w:val="006C0393"/>
    <w:rsid w:val="0071648C"/>
    <w:rsid w:val="007167CC"/>
    <w:rsid w:val="0079035B"/>
    <w:rsid w:val="008138BE"/>
    <w:rsid w:val="008C19C1"/>
    <w:rsid w:val="00930CAD"/>
    <w:rsid w:val="0098443A"/>
    <w:rsid w:val="009F0DA2"/>
    <w:rsid w:val="00A01B38"/>
    <w:rsid w:val="00A44296"/>
    <w:rsid w:val="00A445CA"/>
    <w:rsid w:val="00A86D60"/>
    <w:rsid w:val="00AD6B07"/>
    <w:rsid w:val="00B40B63"/>
    <w:rsid w:val="00B82D3B"/>
    <w:rsid w:val="00BD099D"/>
    <w:rsid w:val="00BF256D"/>
    <w:rsid w:val="00C401D7"/>
    <w:rsid w:val="00C50790"/>
    <w:rsid w:val="00D11C1C"/>
    <w:rsid w:val="00D342EC"/>
    <w:rsid w:val="00D411B0"/>
    <w:rsid w:val="00D44947"/>
    <w:rsid w:val="00DA25D9"/>
    <w:rsid w:val="00DC466B"/>
    <w:rsid w:val="00DC4B8E"/>
    <w:rsid w:val="00DE1EC5"/>
    <w:rsid w:val="00E51C77"/>
    <w:rsid w:val="00E900E0"/>
    <w:rsid w:val="00E922D6"/>
    <w:rsid w:val="00EC0205"/>
    <w:rsid w:val="00EC08DE"/>
    <w:rsid w:val="00F05AD4"/>
    <w:rsid w:val="00F9165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58B76-3C4A-4FCD-8DA3-BF7337A9A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2025-03-14T17:45:00Z</dcterms:created>
  <dcterms:modified xsi:type="dcterms:W3CDTF">2025-03-14T18:01:00Z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